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"Об утверждении Положения о порядке сноса (демонтажа) самовольно установленных нестационарных торговых объектов на землях, находящихся в муниципальной собственности городского округа «город Дербент», землях общего пользования, землях, государственная собственность на которые не разграничена в границах муниципального образования"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01/10/08-21/00001875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"http://dagorv.ru/projects#npa=1875"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http://dagorv.ru/projects#npa=1875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08.09.2021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16.09.2021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20.09.2021 в 9:45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